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b/>
          <w:sz w:val="32"/>
          <w:szCs w:val="32"/>
        </w:rPr>
      </w:pPr>
      <w:r>
        <w:rPr>
          <w:rFonts w:hint="eastAsia" w:ascii="宋体" w:hAnsi="宋体" w:eastAsia="宋体" w:cs="宋体"/>
          <w:b/>
          <w:color w:val="FF0000"/>
          <w:sz w:val="32"/>
          <w:szCs w:val="32"/>
        </w:rPr>
        <w:t>协会</w:t>
      </w:r>
      <w:r>
        <w:rPr>
          <w:rFonts w:hint="eastAsia" w:ascii="宋体" w:hAnsi="宋体" w:eastAsia="宋体" w:cs="宋体"/>
          <w:b/>
          <w:sz w:val="32"/>
          <w:szCs w:val="32"/>
        </w:rPr>
        <w:t>标准项目建议书</w:t>
      </w:r>
    </w:p>
    <w:tbl>
      <w:tblPr>
        <w:tblStyle w:val="6"/>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建议项目名称</w:t>
            </w:r>
          </w:p>
          <w:p>
            <w:pPr>
              <w:snapToGrid w:val="0"/>
              <w:spacing w:line="360" w:lineRule="auto"/>
              <w:ind w:left="-5" w:leftChars="-6" w:hanging="12" w:hangingChars="7"/>
              <w:jc w:val="center"/>
              <w:rPr>
                <w:rFonts w:hint="eastAsia" w:ascii="宋体" w:hAnsi="宋体" w:eastAsia="宋体" w:cs="宋体"/>
                <w:sz w:val="18"/>
                <w:szCs w:val="18"/>
              </w:rPr>
            </w:pPr>
            <w:r>
              <w:rPr>
                <w:rFonts w:hint="eastAsia" w:ascii="宋体" w:hAnsi="宋体" w:eastAsia="宋体" w:cs="宋体"/>
                <w:sz w:val="18"/>
                <w:szCs w:val="18"/>
              </w:rPr>
              <w:t>(中文)</w:t>
            </w:r>
          </w:p>
        </w:tc>
        <w:tc>
          <w:tcPr>
            <w:tcW w:w="3086" w:type="dxa"/>
            <w:gridSpan w:val="4"/>
            <w:vAlign w:val="center"/>
          </w:tcPr>
          <w:p>
            <w:pPr>
              <w:rPr>
                <w:rFonts w:hint="eastAsia" w:ascii="宋体" w:hAnsi="宋体" w:eastAsia="宋体" w:cs="宋体"/>
                <w:sz w:val="18"/>
                <w:szCs w:val="18"/>
              </w:rPr>
            </w:pPr>
            <w:r>
              <w:rPr>
                <w:rFonts w:hint="eastAsia" w:ascii="宋体" w:hAnsi="宋体" w:eastAsia="宋体" w:cs="宋体"/>
                <w:sz w:val="18"/>
                <w:szCs w:val="18"/>
              </w:rPr>
              <w:t>产品碳足迹  产品种类规则  复合材料光伏边框</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建议项目名称</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(英文)</w:t>
            </w:r>
          </w:p>
        </w:tc>
        <w:tc>
          <w:tcPr>
            <w:tcW w:w="2644" w:type="dxa"/>
            <w:gridSpan w:val="2"/>
            <w:vAlign w:val="center"/>
          </w:tcPr>
          <w:p>
            <w:pPr>
              <w:rPr>
                <w:rFonts w:hint="eastAsia" w:ascii="宋体" w:hAnsi="宋体" w:eastAsia="宋体" w:cs="宋体"/>
                <w:sz w:val="18"/>
                <w:szCs w:val="18"/>
              </w:rPr>
            </w:pPr>
            <w:r>
              <w:rPr>
                <w:rFonts w:hint="eastAsia" w:ascii="宋体" w:hAnsi="宋体" w:eastAsia="宋体" w:cs="宋体"/>
                <w:sz w:val="18"/>
              </w:rPr>
              <w:t>Product Carbon Footprint  Product Type Rules  Composite Material Frame for Photovoltaic modules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制定或修订</w:t>
            </w:r>
          </w:p>
        </w:tc>
        <w:tc>
          <w:tcPr>
            <w:tcW w:w="1618"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 制定</w:t>
            </w:r>
          </w:p>
        </w:tc>
        <w:tc>
          <w:tcPr>
            <w:tcW w:w="1468"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修订</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被修订标准号</w:t>
            </w:r>
          </w:p>
        </w:tc>
        <w:tc>
          <w:tcPr>
            <w:tcW w:w="2644" w:type="dxa"/>
            <w:gridSpan w:val="2"/>
            <w:vAlign w:val="center"/>
          </w:tcPr>
          <w:p>
            <w:pPr>
              <w:snapToGrid w:val="0"/>
              <w:spacing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采用程度</w:t>
            </w:r>
          </w:p>
        </w:tc>
        <w:tc>
          <w:tcPr>
            <w:tcW w:w="1078" w:type="dxa"/>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IDT</w:t>
            </w:r>
          </w:p>
        </w:tc>
        <w:tc>
          <w:tcPr>
            <w:tcW w:w="1080"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MOD</w:t>
            </w:r>
          </w:p>
        </w:tc>
        <w:tc>
          <w:tcPr>
            <w:tcW w:w="928" w:type="dxa"/>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NEQ</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采标号</w:t>
            </w:r>
          </w:p>
        </w:tc>
        <w:tc>
          <w:tcPr>
            <w:tcW w:w="2644" w:type="dxa"/>
            <w:gridSpan w:val="2"/>
            <w:vAlign w:val="center"/>
          </w:tcPr>
          <w:p>
            <w:pPr>
              <w:snapToGrid w:val="0"/>
              <w:spacing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国际标准名称（中文）</w:t>
            </w:r>
          </w:p>
        </w:tc>
        <w:tc>
          <w:tcPr>
            <w:tcW w:w="3086" w:type="dxa"/>
            <w:gridSpan w:val="4"/>
            <w:vAlign w:val="center"/>
          </w:tcPr>
          <w:p>
            <w:pPr>
              <w:snapToGrid w:val="0"/>
              <w:spacing w:line="360" w:lineRule="auto"/>
              <w:rPr>
                <w:rFonts w:hint="eastAsia" w:ascii="宋体" w:hAnsi="宋体" w:eastAsia="宋体" w:cs="宋体"/>
                <w:sz w:val="18"/>
                <w:szCs w:val="18"/>
              </w:rPr>
            </w:pP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国际标准名称（英文）</w:t>
            </w:r>
          </w:p>
        </w:tc>
        <w:tc>
          <w:tcPr>
            <w:tcW w:w="2644" w:type="dxa"/>
            <w:gridSpan w:val="2"/>
            <w:vAlign w:val="center"/>
          </w:tcPr>
          <w:p>
            <w:pPr>
              <w:snapToGrid w:val="0"/>
              <w:spacing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ICS分类号</w:t>
            </w:r>
          </w:p>
        </w:tc>
        <w:tc>
          <w:tcPr>
            <w:tcW w:w="3086" w:type="dxa"/>
            <w:gridSpan w:val="4"/>
            <w:vAlign w:val="center"/>
          </w:tcPr>
          <w:p>
            <w:pPr>
              <w:snapToGrid w:val="0"/>
              <w:spacing w:line="36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83.120</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中国标准分类号</w:t>
            </w:r>
          </w:p>
        </w:tc>
        <w:tc>
          <w:tcPr>
            <w:tcW w:w="2644" w:type="dxa"/>
            <w:gridSpan w:val="2"/>
            <w:vAlign w:val="center"/>
          </w:tcPr>
          <w:p>
            <w:pPr>
              <w:snapToGrid w:val="0"/>
              <w:spacing w:line="36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Q23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标准主要起草单位</w:t>
            </w:r>
          </w:p>
        </w:tc>
        <w:tc>
          <w:tcPr>
            <w:tcW w:w="3086" w:type="dxa"/>
            <w:gridSpan w:val="4"/>
            <w:vAlign w:val="center"/>
          </w:tcPr>
          <w:p>
            <w:pPr>
              <w:snapToGrid w:val="0"/>
              <w:spacing w:line="360" w:lineRule="auto"/>
              <w:rPr>
                <w:rFonts w:hint="eastAsia" w:ascii="宋体" w:hAnsi="宋体" w:eastAsia="宋体" w:cs="宋体"/>
                <w:sz w:val="18"/>
                <w:szCs w:val="18"/>
                <w:lang w:eastAsia="zh-CN"/>
              </w:rPr>
            </w:pPr>
            <w:r>
              <w:rPr>
                <w:rFonts w:hint="eastAsia" w:ascii="宋体" w:hAnsi="宋体" w:eastAsia="宋体" w:cs="宋体"/>
                <w:sz w:val="18"/>
                <w:szCs w:val="18"/>
              </w:rPr>
              <w:t>浙江鸿盛新材料科技集团股份有限公司</w:t>
            </w:r>
            <w:r>
              <w:rPr>
                <w:rFonts w:hint="eastAsia" w:ascii="宋体" w:hAnsi="宋体" w:eastAsia="宋体" w:cs="宋体"/>
                <w:sz w:val="18"/>
                <w:szCs w:val="18"/>
                <w:lang w:eastAsia="zh-CN"/>
              </w:rPr>
              <w:t>、</w:t>
            </w:r>
            <w:r>
              <w:rPr>
                <w:rFonts w:hint="eastAsia" w:ascii="宋体" w:hAnsi="宋体" w:eastAsia="宋体"/>
                <w:sz w:val="18"/>
                <w:szCs w:val="18"/>
              </w:rPr>
              <w:t>中纤复材再生资源咨询服务（北京）有限公司</w:t>
            </w:r>
            <w:bookmarkStart w:id="1" w:name="_GoBack"/>
            <w:bookmarkEnd w:id="1"/>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计划起止时间</w:t>
            </w:r>
          </w:p>
        </w:tc>
        <w:tc>
          <w:tcPr>
            <w:tcW w:w="2644"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2024年1月-2025年1月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目的﹑意义或必</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要性</w:t>
            </w:r>
          </w:p>
        </w:tc>
        <w:tc>
          <w:tcPr>
            <w:tcW w:w="7573" w:type="dxa"/>
            <w:gridSpan w:val="8"/>
            <w:vAlign w:val="center"/>
          </w:tcPr>
          <w:p>
            <w:pPr>
              <w:widowControl/>
              <w:shd w:val="clear" w:color="auto" w:fill="FFFFFF"/>
              <w:spacing w:before="240"/>
              <w:ind w:firstLine="360" w:firstLineChars="200"/>
              <w:jc w:val="left"/>
              <w:rPr>
                <w:rFonts w:hint="eastAsia" w:ascii="宋体" w:hAnsi="宋体" w:eastAsia="宋体" w:cs="宋体"/>
                <w:kern w:val="0"/>
                <w:sz w:val="18"/>
              </w:rPr>
            </w:pPr>
            <w:r>
              <w:rPr>
                <w:rFonts w:hint="eastAsia" w:ascii="宋体" w:hAnsi="宋体" w:eastAsia="宋体" w:cs="宋体"/>
                <w:kern w:val="0"/>
                <w:sz w:val="18"/>
              </w:rPr>
              <w:t>2021年12月31日，工信部等</w:t>
            </w:r>
            <w:r>
              <w:rPr>
                <w:rFonts w:hint="eastAsia" w:ascii="宋体" w:hAnsi="宋体" w:eastAsia="宋体" w:cs="宋体"/>
                <w:kern w:val="0"/>
                <w:sz w:val="18"/>
                <w:lang w:val="en-US" w:eastAsia="zh-CN"/>
              </w:rPr>
              <w:t>几</w:t>
            </w:r>
            <w:r>
              <w:rPr>
                <w:rFonts w:hint="eastAsia" w:ascii="宋体" w:hAnsi="宋体" w:eastAsia="宋体" w:cs="宋体"/>
                <w:kern w:val="0"/>
                <w:sz w:val="18"/>
              </w:rPr>
              <w:t>部门联合下发《智能光伏产业创新发展行动计划（2021-2025年）》（工信部联电子〔2021〕226号），文件要求“开发低碳材料、工艺、装备，鼓励利用可再生能源生产，促进 行业优先低碳转型。研究制定光伏行业碳排放控制目标和行动方案，制定光伏发电全生命周期碳足迹评价标准并开展认证。”</w:t>
            </w:r>
          </w:p>
          <w:p>
            <w:pPr>
              <w:pStyle w:val="2"/>
              <w:spacing w:line="240" w:lineRule="auto"/>
              <w:ind w:firstLine="360" w:firstLineChars="200"/>
              <w:rPr>
                <w:rFonts w:hint="eastAsia" w:ascii="宋体" w:hAnsi="宋体" w:eastAsia="宋体" w:cs="宋体"/>
                <w:b w:val="0"/>
                <w:kern w:val="0"/>
                <w:sz w:val="18"/>
                <w:szCs w:val="24"/>
              </w:rPr>
            </w:pPr>
            <w:r>
              <w:rPr>
                <w:rFonts w:hint="eastAsia" w:ascii="宋体" w:hAnsi="宋体" w:eastAsia="宋体" w:cs="宋体"/>
                <w:b w:val="0"/>
                <w:kern w:val="0"/>
                <w:sz w:val="18"/>
                <w:szCs w:val="24"/>
              </w:rPr>
              <w:t>2022年8月24日，工业和信息化部办公厅、市场监管总局办公厅、国家能源局综合司联合下发的《关于促进光伏产业链供应链协同发展的通知》（工信厅联电子函〔2022〕205号）文件中提出“加强光伏行业运行监测，推进实现动态监测、风险预警和政府决策快速响应，引导产业持续健康发展。加强光伏产业链全生命周期管理和碳足迹核算，加快废弃组件回收技术、标准及产业化研究。”</w:t>
            </w:r>
          </w:p>
          <w:p>
            <w:pPr>
              <w:ind w:firstLine="360" w:firstLineChars="200"/>
              <w:rPr>
                <w:rFonts w:hint="eastAsia" w:ascii="宋体" w:hAnsi="宋体" w:eastAsia="宋体" w:cs="宋体"/>
                <w:kern w:val="0"/>
                <w:sz w:val="18"/>
              </w:rPr>
            </w:pPr>
            <w:r>
              <w:rPr>
                <w:rFonts w:hint="eastAsia" w:ascii="宋体" w:hAnsi="宋体" w:eastAsia="宋体" w:cs="宋体"/>
                <w:kern w:val="0"/>
                <w:sz w:val="18"/>
              </w:rPr>
              <w:t>2023年11月13日国家发展改革委等部门关于《加快建立产品碳足迹管理体系的意见》（发改环资〔2023〕1529号）要求到“2025年，国家层面出台50个左右重点产品碳足迹核算规则和标准，一批重点行业碳足迹背景数据库初步建成，国家产品碳标识认证制度基本建立。到2030年，国家层面出台200个左右重点产品碳足迹核算规则和标准，一批覆盖范围广、数据质量高、国际影响力强的重点行业碳足迹背景数据库基本建成，国家产品碳标识认证制度全面建立，碳标识得到企业和消费者的普遍认同，主要产品碳足迹核算规则、标准和碳标识得到国际广泛认可，产品碳足迹管理体系为经济社会发展全面绿色转型提供有力保障。”</w:t>
            </w:r>
          </w:p>
          <w:p>
            <w:pPr>
              <w:pStyle w:val="2"/>
              <w:spacing w:line="240" w:lineRule="auto"/>
              <w:ind w:firstLine="360" w:firstLineChars="200"/>
              <w:rPr>
                <w:rFonts w:hint="eastAsia" w:ascii="宋体" w:hAnsi="宋体" w:eastAsia="宋体" w:cs="宋体"/>
                <w:b w:val="0"/>
                <w:kern w:val="0"/>
                <w:sz w:val="18"/>
                <w:szCs w:val="24"/>
              </w:rPr>
            </w:pPr>
            <w:r>
              <w:rPr>
                <w:rFonts w:hint="eastAsia" w:ascii="宋体" w:hAnsi="宋体" w:eastAsia="宋体" w:cs="宋体"/>
                <w:b w:val="0"/>
                <w:kern w:val="0"/>
                <w:sz w:val="18"/>
                <w:szCs w:val="24"/>
              </w:rPr>
              <w:t>光伏产业是基于半导体技术和新能源需求而融合发展、 快速兴起的朝阳产业，也是实现制造强国和能源革命的重大关键领域。全面提升我国光伏产业发展质量和效率，推动实现2030年碳达峰、2060年碳中和目标。</w:t>
            </w:r>
          </w:p>
          <w:p>
            <w:pPr>
              <w:pStyle w:val="5"/>
              <w:spacing w:before="0" w:beforeAutospacing="0" w:after="0" w:afterAutospacing="0"/>
              <w:ind w:firstLine="360" w:firstLineChars="200"/>
              <w:rPr>
                <w:rFonts w:hint="eastAsia" w:ascii="宋体" w:hAnsi="宋体" w:eastAsia="宋体" w:cs="宋体"/>
                <w:sz w:val="18"/>
              </w:rPr>
            </w:pPr>
            <w:r>
              <w:rPr>
                <w:rFonts w:hint="eastAsia" w:ascii="宋体" w:hAnsi="宋体" w:eastAsia="宋体" w:cs="宋体"/>
                <w:sz w:val="18"/>
              </w:rPr>
              <w:t>光伏边框是光伏组件的重要组成部分，位于光伏产业链中下游，光伏边框的性能对光伏组件的安装和使用寿命有直接影响。复合材料边框与铝合金边框相比，具有耐腐蚀、耐盐雾、承载更高背压、高屈服强度、优良的绝缘性能、防组件弯曲变形的、低碳排放等性能优点。</w:t>
            </w:r>
          </w:p>
          <w:p>
            <w:pPr>
              <w:ind w:firstLine="360" w:firstLineChars="200"/>
              <w:rPr>
                <w:rFonts w:hint="eastAsia" w:ascii="宋体" w:hAnsi="宋体" w:eastAsia="宋体" w:cs="宋体"/>
                <w:color w:val="191919"/>
                <w:shd w:val="clear" w:color="auto" w:fill="FFFFFF"/>
              </w:rPr>
            </w:pPr>
            <w:r>
              <w:rPr>
                <w:rFonts w:hint="eastAsia" w:ascii="宋体" w:hAnsi="宋体" w:eastAsia="宋体" w:cs="宋体"/>
                <w:kern w:val="0"/>
                <w:sz w:val="18"/>
              </w:rPr>
              <w:t>2023年2月欧洲碳边界调整机制（简称CBAM，即“碳关税”）协议正式通过，规定“自2023年10月1日起，将要求进口商支付进口到欧盟的进口产品生产地和欧盟ETS碳价的差额，以确保进口产品与本土产品承担相同的碳排放成本。”</w:t>
            </w:r>
            <w:r>
              <w:rPr>
                <w:rFonts w:hint="eastAsia" w:ascii="宋体" w:hAnsi="宋体" w:eastAsia="宋体" w:cs="宋体"/>
                <w:color w:val="191919"/>
                <w:shd w:val="clear" w:color="auto" w:fill="FFFFFF"/>
              </w:rPr>
              <w:t xml:space="preserve"> </w:t>
            </w:r>
          </w:p>
          <w:p>
            <w:pPr>
              <w:ind w:firstLine="360" w:firstLineChars="200"/>
              <w:rPr>
                <w:rFonts w:hint="eastAsia" w:ascii="宋体" w:hAnsi="宋体" w:eastAsia="宋体" w:cs="宋体"/>
                <w:kern w:val="0"/>
                <w:sz w:val="18"/>
              </w:rPr>
            </w:pPr>
            <w:r>
              <w:rPr>
                <w:rFonts w:hint="eastAsia" w:ascii="宋体" w:hAnsi="宋体" w:eastAsia="宋体" w:cs="宋体"/>
                <w:kern w:val="0"/>
                <w:sz w:val="18"/>
              </w:rPr>
              <w:t>从光伏产业链的碳排放环节来看，光伏组件三大碳排放环节 ：多晶硅、铝材、玻璃，作为辅材的铝边框是重要的碳排放来源之一。而对于组件来说，每瓦所用的铝边框大概在6克左右，按照未来10年年平均200GW装机量来估计，铝材的用量约在120万吨，铝材的碳排放将成为光伏产品的重要负担。使用复合材料边框边框替代金属边框，经初步计算，从最初级原料（石油及矿石）到制成组件边框再到第一次回收利用作为一个生命周期，复合材料边框的碳排放指标只有传统边框用材的12%，可以明显降低出口组件的碳排放，更容易达到欧盟的碳边境要求，同时也有利于企业的低碳转型。</w:t>
            </w:r>
          </w:p>
          <w:p>
            <w:pPr>
              <w:keepNext w:val="0"/>
              <w:keepLines w:val="0"/>
              <w:suppressLineNumbers w:val="0"/>
              <w:spacing w:before="0" w:beforeAutospacing="0" w:after="0" w:afterAutospacing="0"/>
              <w:ind w:left="0" w:right="0" w:firstLine="360" w:firstLineChars="200"/>
              <w:rPr>
                <w:rFonts w:hint="eastAsia" w:ascii="宋体" w:hAnsi="宋体" w:eastAsia="宋体" w:cs="宋体"/>
              </w:rPr>
            </w:pPr>
            <w:r>
              <w:rPr>
                <w:rFonts w:hint="eastAsia" w:ascii="宋体" w:hAnsi="宋体" w:eastAsia="宋体" w:cs="宋体"/>
                <w:sz w:val="18"/>
              </w:rPr>
              <w:t>有效核算光伏用制品碳足迹，可以剖析企业与光伏支架各生命周期阶段的碳排放量，寻找减碳的机会，并且为企业减碳增效提供方向；同时，开展光伏支架碳足迹核算，也是为应对CBAM，降低碳关税的基础工作，为我国光伏支架产品的出口，提供碳足迹核算的依据；也可以增加市场竞争力，同时也是企业响应国家“碳达峰、碳中和”号召的社会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范围和主要</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技术内容</w:t>
            </w:r>
          </w:p>
        </w:tc>
        <w:tc>
          <w:tcPr>
            <w:tcW w:w="7573" w:type="dxa"/>
            <w:gridSpan w:val="8"/>
            <w:vAlign w:val="center"/>
          </w:tcPr>
          <w:p>
            <w:pPr>
              <w:pageBreakBefore w:val="0"/>
              <w:widowControl w:val="0"/>
              <w:kinsoku/>
              <w:wordWrap/>
              <w:overflowPunct/>
              <w:topLinePunct w:val="0"/>
              <w:autoSpaceDE/>
              <w:autoSpaceDN/>
              <w:bidi w:val="0"/>
              <w:adjustRightInd/>
              <w:snapToGrid/>
              <w:spacing w:line="240" w:lineRule="auto"/>
              <w:ind w:firstLine="370" w:firstLineChars="206"/>
              <w:textAlignment w:val="auto"/>
              <w:rPr>
                <w:rFonts w:hint="eastAsia" w:ascii="宋体" w:hAnsi="宋体" w:eastAsia="宋体" w:cs="宋体"/>
                <w:sz w:val="18"/>
              </w:rPr>
            </w:pPr>
            <w:r>
              <w:rPr>
                <w:rFonts w:hint="eastAsia" w:ascii="宋体" w:hAnsi="宋体" w:eastAsia="宋体" w:cs="宋体"/>
                <w:sz w:val="18"/>
                <w:szCs w:val="18"/>
                <w:lang w:eastAsia="zh-CN"/>
              </w:rPr>
              <w:tab/>
            </w:r>
            <w:r>
              <w:rPr>
                <w:rFonts w:hint="eastAsia" w:ascii="宋体" w:hAnsi="宋体" w:eastAsia="宋体" w:cs="宋体"/>
                <w:sz w:val="18"/>
              </w:rPr>
              <w:t>本标准主要对光伏用复合材料边框产品碳足迹的术语与定义、总则、产品及型号描述、产品碳足迹的系统边界、核算数据收集进行了规定。</w:t>
            </w:r>
          </w:p>
          <w:p>
            <w:pPr>
              <w:pStyle w:val="2"/>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sz w:val="18"/>
                <w:szCs w:val="24"/>
              </w:rPr>
            </w:pPr>
            <w:r>
              <w:rPr>
                <w:rFonts w:hint="eastAsia" w:ascii="宋体" w:hAnsi="宋体" w:eastAsia="宋体" w:cs="宋体"/>
              </w:rPr>
              <w:t xml:space="preserve">   </w:t>
            </w:r>
            <w:r>
              <w:rPr>
                <w:rFonts w:hint="eastAsia" w:ascii="宋体" w:hAnsi="宋体" w:eastAsia="宋体" w:cs="宋体"/>
                <w:b w:val="0"/>
                <w:sz w:val="18"/>
                <w:szCs w:val="24"/>
              </w:rPr>
              <w:t>1. 明确产品全生命周期各阶段：原材料及加工阶段、产品生产阶段、产品运输阶段、产品使用阶段、废弃回收处理阶段；</w:t>
            </w:r>
          </w:p>
          <w:p>
            <w:pPr>
              <w:pageBreakBefore w:val="0"/>
              <w:widowControl w:val="0"/>
              <w:kinsoku/>
              <w:wordWrap/>
              <w:overflowPunct/>
              <w:topLinePunct w:val="0"/>
              <w:autoSpaceDE/>
              <w:autoSpaceDN/>
              <w:bidi w:val="0"/>
              <w:adjustRightInd/>
              <w:snapToGrid/>
              <w:spacing w:line="240" w:lineRule="auto"/>
              <w:ind w:firstLine="435"/>
              <w:textAlignment w:val="auto"/>
              <w:rPr>
                <w:rFonts w:hint="eastAsia" w:ascii="宋体" w:hAnsi="宋体" w:eastAsia="宋体" w:cs="宋体"/>
                <w:sz w:val="18"/>
              </w:rPr>
            </w:pPr>
            <w:r>
              <w:rPr>
                <w:rFonts w:hint="eastAsia" w:ascii="宋体" w:hAnsi="宋体" w:eastAsia="宋体" w:cs="宋体"/>
                <w:sz w:val="18"/>
              </w:rPr>
              <w:t>2. 根据各阶段的工艺流程确认每个阶段的温室气体排放源；</w:t>
            </w:r>
          </w:p>
          <w:p>
            <w:pPr>
              <w:pStyle w:val="2"/>
              <w:keepNext/>
              <w:keepLines/>
              <w:pageBreakBefore w:val="0"/>
              <w:widowControl w:val="0"/>
              <w:kinsoku/>
              <w:wordWrap/>
              <w:overflowPunct/>
              <w:topLinePunct w:val="0"/>
              <w:autoSpaceDE/>
              <w:autoSpaceDN/>
              <w:bidi w:val="0"/>
              <w:adjustRightInd/>
              <w:snapToGrid/>
              <w:spacing w:line="240" w:lineRule="auto"/>
              <w:ind w:firstLine="437"/>
              <w:textAlignment w:val="auto"/>
              <w:rPr>
                <w:rFonts w:hint="eastAsia" w:ascii="宋体" w:hAnsi="宋体" w:eastAsia="宋体" w:cs="宋体"/>
                <w:b w:val="0"/>
                <w:sz w:val="18"/>
                <w:szCs w:val="24"/>
              </w:rPr>
            </w:pPr>
            <w:r>
              <w:rPr>
                <w:rFonts w:hint="eastAsia" w:ascii="宋体" w:hAnsi="宋体" w:eastAsia="宋体" w:cs="宋体"/>
                <w:b w:val="0"/>
                <w:sz w:val="18"/>
                <w:szCs w:val="24"/>
              </w:rPr>
              <w:t>3. 确认生命周期各阶段温室气体排放数据的收集要求并给出所获得排放源数据的取舍要求；</w:t>
            </w:r>
          </w:p>
          <w:p>
            <w:pPr>
              <w:pStyle w:val="2"/>
              <w:keepNext/>
              <w:keepLines/>
              <w:pageBreakBefore w:val="0"/>
              <w:widowControl w:val="0"/>
              <w:kinsoku/>
              <w:wordWrap/>
              <w:overflowPunct/>
              <w:topLinePunct w:val="0"/>
              <w:autoSpaceDE/>
              <w:autoSpaceDN/>
              <w:bidi w:val="0"/>
              <w:adjustRightInd/>
              <w:snapToGrid/>
              <w:spacing w:line="240" w:lineRule="auto"/>
              <w:ind w:firstLine="437"/>
              <w:textAlignment w:val="auto"/>
              <w:rPr>
                <w:rFonts w:hint="eastAsia" w:ascii="宋体" w:hAnsi="宋体" w:eastAsia="宋体" w:cs="宋体"/>
                <w:b w:val="0"/>
                <w:sz w:val="18"/>
                <w:szCs w:val="24"/>
              </w:rPr>
            </w:pPr>
            <w:r>
              <w:rPr>
                <w:rFonts w:hint="eastAsia" w:ascii="宋体" w:hAnsi="宋体" w:eastAsia="宋体" w:cs="宋体"/>
                <w:b w:val="0"/>
                <w:sz w:val="18"/>
                <w:szCs w:val="24"/>
              </w:rPr>
              <w:t>4. 根据确认的排放源及收集的数据生成碳足迹报告。</w:t>
            </w:r>
          </w:p>
          <w:p>
            <w:pPr>
              <w:pStyle w:val="2"/>
              <w:pageBreakBefore w:val="0"/>
              <w:widowControl w:val="0"/>
              <w:tabs>
                <w:tab w:val="left" w:pos="1059"/>
              </w:tabs>
              <w:kinsoku/>
              <w:wordWrap/>
              <w:overflowPunct/>
              <w:topLinePunct w:val="0"/>
              <w:autoSpaceDE/>
              <w:autoSpaceDN/>
              <w:bidi w:val="0"/>
              <w:adjustRightInd/>
              <w:snapToGrid/>
              <w:spacing w:line="240" w:lineRule="auto"/>
              <w:ind w:firstLine="360" w:firstLineChars="200"/>
              <w:textAlignment w:val="auto"/>
              <w:rPr>
                <w:rFonts w:hint="eastAsia" w:ascii="宋体" w:hAnsi="宋体" w:eastAsia="宋体" w:cs="宋体"/>
                <w:sz w:val="18"/>
                <w:szCs w:val="18"/>
                <w:lang w:eastAsia="zh-CN"/>
              </w:rPr>
            </w:pPr>
            <w:r>
              <w:rPr>
                <w:rFonts w:hint="eastAsia" w:ascii="宋体" w:hAnsi="宋体" w:eastAsia="宋体" w:cs="宋体"/>
                <w:b w:val="0"/>
                <w:bCs/>
                <w:sz w:val="18"/>
              </w:rPr>
              <w:t>本标准适用于光伏复合材料边框制品的碳足迹核算。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3"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国内外情况</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简要说明</w:t>
            </w:r>
          </w:p>
        </w:tc>
        <w:tc>
          <w:tcPr>
            <w:tcW w:w="7573" w:type="dxa"/>
            <w:gridSpan w:val="8"/>
            <w:vAlign w:val="center"/>
          </w:tcPr>
          <w:p>
            <w:pPr>
              <w:numPr>
                <w:ilvl w:val="0"/>
                <w:numId w:val="1"/>
              </w:numPr>
              <w:rPr>
                <w:rFonts w:hint="eastAsia" w:ascii="宋体" w:hAnsi="宋体" w:eastAsia="宋体" w:cs="宋体"/>
                <w:b w:val="0"/>
                <w:sz w:val="18"/>
                <w:szCs w:val="24"/>
              </w:rPr>
            </w:pPr>
            <w:r>
              <w:rPr>
                <w:rFonts w:hint="eastAsia" w:ascii="宋体" w:hAnsi="宋体" w:eastAsia="宋体" w:cs="宋体"/>
                <w:b w:val="0"/>
                <w:sz w:val="18"/>
                <w:szCs w:val="24"/>
              </w:rPr>
              <w:t>国内外对该技术研究情况简要说明：</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国外关于碳足迹的标准，ISO14067《温室气体 产品碳足迹 量化要求和指南》给出的是产品碳足迹的量化要求及指南，而PAS2050《商品和服务在生命周期内的温室气体排放评价规范》是对产品整个生命周期的评价，是总纲性文件，对明确到具体产品的碳足迹评价，可以作为参考文件使用。</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国内，关于碳足迹相关标准正在制定中，没有关于</w:t>
            </w:r>
            <w:r>
              <w:rPr>
                <w:rFonts w:hint="eastAsia" w:ascii="宋体" w:hAnsi="宋体" w:eastAsia="宋体" w:cs="宋体"/>
                <w:b w:val="0"/>
                <w:bCs/>
                <w:sz w:val="18"/>
              </w:rPr>
              <w:t>光伏复合材料边框制</w:t>
            </w:r>
            <w:r>
              <w:rPr>
                <w:rFonts w:hint="eastAsia" w:ascii="宋体" w:hAnsi="宋体" w:eastAsia="宋体" w:cs="宋体"/>
                <w:b w:val="0"/>
                <w:sz w:val="18"/>
                <w:szCs w:val="24"/>
              </w:rPr>
              <w:t>相关碳足迹标准。</w:t>
            </w:r>
          </w:p>
          <w:p>
            <w:pPr>
              <w:numPr>
                <w:ilvl w:val="0"/>
                <w:numId w:val="1"/>
              </w:numPr>
              <w:ind w:left="0" w:leftChars="0" w:firstLine="0" w:firstLineChars="0"/>
              <w:rPr>
                <w:rFonts w:hint="eastAsia" w:ascii="宋体" w:hAnsi="宋体" w:eastAsia="宋体" w:cs="宋体"/>
                <w:b w:val="0"/>
                <w:sz w:val="18"/>
                <w:szCs w:val="24"/>
              </w:rPr>
            </w:pPr>
            <w:r>
              <w:rPr>
                <w:rFonts w:hint="eastAsia" w:ascii="宋体" w:hAnsi="宋体" w:eastAsia="宋体" w:cs="宋体"/>
                <w:b w:val="0"/>
                <w:sz w:val="18"/>
                <w:szCs w:val="24"/>
              </w:rPr>
              <w:t>项目与国际标准或国外先进标准采用程度的考虑：</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该标准项目目前尚无对应的国际标准或国外先进标准。</w:t>
            </w:r>
          </w:p>
          <w:p>
            <w:pPr>
              <w:numPr>
                <w:ilvl w:val="0"/>
                <w:numId w:val="1"/>
              </w:numPr>
              <w:ind w:left="0" w:leftChars="0" w:firstLine="0" w:firstLineChars="0"/>
              <w:rPr>
                <w:rFonts w:hint="eastAsia" w:ascii="宋体" w:hAnsi="宋体" w:eastAsia="宋体" w:cs="宋体"/>
                <w:b w:val="0"/>
                <w:sz w:val="18"/>
                <w:szCs w:val="24"/>
              </w:rPr>
            </w:pPr>
            <w:r>
              <w:rPr>
                <w:rFonts w:hint="eastAsia" w:ascii="宋体" w:hAnsi="宋体" w:eastAsia="宋体" w:cs="宋体"/>
                <w:b w:val="0"/>
                <w:sz w:val="18"/>
                <w:szCs w:val="24"/>
              </w:rPr>
              <w:t>与国内相关标准间的关系：</w:t>
            </w:r>
            <w:bookmarkStart w:id="0" w:name="_Hlk33710103"/>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该标准将参考ISO14067《温室气体 产品碳足迹 量化要求和指南》进行相关术语的定义；</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该标准将参考PAS2050《商品和服务在生命周期内的温室气体排放评价规范》、DB44∕T 1874《产品碳足迹 产品种类规则 巴氏杀菌乳》的结构及内容开展编制工作。</w:t>
            </w:r>
            <w:bookmarkEnd w:id="0"/>
          </w:p>
          <w:p>
            <w:pPr>
              <w:numPr>
                <w:ilvl w:val="0"/>
                <w:numId w:val="1"/>
              </w:numPr>
              <w:ind w:left="0" w:leftChars="0" w:firstLine="0" w:firstLineChars="0"/>
              <w:rPr>
                <w:rFonts w:hint="eastAsia" w:ascii="宋体" w:hAnsi="宋体" w:eastAsia="宋体" w:cs="宋体"/>
                <w:sz w:val="18"/>
                <w:szCs w:val="18"/>
              </w:rPr>
            </w:pPr>
            <w:r>
              <w:rPr>
                <w:rFonts w:hint="eastAsia" w:ascii="宋体" w:hAnsi="宋体" w:eastAsia="宋体" w:cs="宋体"/>
                <w:b w:val="0"/>
                <w:sz w:val="18"/>
                <w:szCs w:val="24"/>
              </w:rPr>
              <w:t>指出是否发现有知识产权的问题；无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pPr>
              <w:pStyle w:val="4"/>
              <w:tabs>
                <w:tab w:val="clear" w:pos="4153"/>
                <w:tab w:val="clear" w:pos="8306"/>
              </w:tabs>
              <w:spacing w:line="360" w:lineRule="auto"/>
              <w:rPr>
                <w:rFonts w:hint="eastAsia" w:ascii="宋体" w:hAnsi="宋体" w:eastAsia="宋体" w:cs="宋体"/>
                <w:szCs w:val="18"/>
              </w:rPr>
            </w:pPr>
            <w:r>
              <w:rPr>
                <w:rFonts w:hint="eastAsia" w:ascii="宋体" w:hAnsi="宋体" w:eastAsia="宋体" w:cs="宋体"/>
                <w:szCs w:val="18"/>
              </w:rPr>
              <w:t>牵头单位</w:t>
            </w:r>
          </w:p>
        </w:tc>
        <w:tc>
          <w:tcPr>
            <w:tcW w:w="3972" w:type="dxa"/>
            <w:gridSpan w:val="5"/>
            <w:vAlign w:val="center"/>
          </w:tcPr>
          <w:p>
            <w:pPr>
              <w:snapToGrid w:val="0"/>
              <w:spacing w:line="360" w:lineRule="auto"/>
              <w:jc w:val="center"/>
              <w:rPr>
                <w:rFonts w:hint="eastAsia" w:ascii="宋体" w:hAnsi="宋体" w:eastAsia="宋体" w:cs="宋体"/>
                <w:sz w:val="18"/>
                <w:szCs w:val="18"/>
              </w:rPr>
            </w:pP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（签字、盖公章）月     日</w:t>
            </w:r>
          </w:p>
        </w:tc>
        <w:tc>
          <w:tcPr>
            <w:tcW w:w="1701"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归口管理部门</w:t>
            </w:r>
          </w:p>
        </w:tc>
        <w:tc>
          <w:tcPr>
            <w:tcW w:w="1900" w:type="dxa"/>
            <w:vAlign w:val="center"/>
          </w:tcPr>
          <w:p>
            <w:pPr>
              <w:snapToGrid w:val="0"/>
              <w:spacing w:line="360" w:lineRule="auto"/>
              <w:rPr>
                <w:rFonts w:hint="eastAsia" w:ascii="宋体" w:hAnsi="宋体" w:eastAsia="宋体" w:cs="宋体"/>
                <w:sz w:val="18"/>
                <w:szCs w:val="18"/>
              </w:rPr>
            </w:pPr>
          </w:p>
          <w:p>
            <w:pPr>
              <w:snapToGrid w:val="0"/>
              <w:rPr>
                <w:rFonts w:hint="eastAsia" w:ascii="宋体" w:hAnsi="宋体" w:eastAsia="宋体" w:cs="宋体"/>
                <w:sz w:val="18"/>
                <w:szCs w:val="18"/>
              </w:rPr>
            </w:pPr>
            <w:r>
              <w:rPr>
                <w:rFonts w:hint="eastAsia" w:ascii="宋体" w:hAnsi="宋体" w:eastAsia="宋体" w:cs="宋体"/>
                <w:sz w:val="18"/>
                <w:szCs w:val="18"/>
              </w:rPr>
              <w:t>（签字、盖公章）</w:t>
            </w:r>
          </w:p>
          <w:p>
            <w:pPr>
              <w:snapToGrid w:val="0"/>
              <w:rPr>
                <w:rFonts w:hint="eastAsia" w:ascii="宋体" w:hAnsi="宋体" w:eastAsia="宋体" w:cs="宋体"/>
                <w:sz w:val="18"/>
                <w:szCs w:val="18"/>
              </w:rPr>
            </w:pPr>
            <w:r>
              <w:rPr>
                <w:rFonts w:hint="eastAsia" w:ascii="宋体" w:hAnsi="宋体" w:eastAsia="宋体" w:cs="宋体"/>
                <w:sz w:val="18"/>
                <w:szCs w:val="18"/>
              </w:rPr>
              <w:t xml:space="preserve">    月     日</w:t>
            </w:r>
          </w:p>
        </w:tc>
      </w:tr>
    </w:tbl>
    <w:p>
      <w:pPr>
        <w:snapToGrid w:val="0"/>
        <w:spacing w:beforeLines="5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rFonts w:hint="eastAsia"/>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rFonts w:hint="eastAsia"/>
          <w:sz w:val="18"/>
          <w:szCs w:val="18"/>
        </w:rPr>
      </w:pPr>
    </w:p>
    <w:p>
      <w:pPr>
        <w:snapToGrid w:val="0"/>
        <w:rPr>
          <w:rFonts w:hint="eastAsia"/>
          <w:sz w:val="18"/>
          <w:szCs w:val="18"/>
        </w:rPr>
      </w:pPr>
    </w:p>
    <w:p>
      <w:pPr>
        <w:snapToGrid w:val="0"/>
        <w:rPr>
          <w:rFonts w:hint="eastAsia"/>
          <w:sz w:val="18"/>
          <w:szCs w:val="18"/>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81AF9D"/>
    <w:multiLevelType w:val="singleLevel"/>
    <w:tmpl w:val="C981AF9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FkZjRlMjgxMjdlOTgyODBiNWQ1YWYyNmYyNjI5MDEifQ=="/>
  </w:docVars>
  <w:rsids>
    <w:rsidRoot w:val="009F1940"/>
    <w:rsid w:val="00070E68"/>
    <w:rsid w:val="00126298"/>
    <w:rsid w:val="0031195C"/>
    <w:rsid w:val="00762C08"/>
    <w:rsid w:val="009F1940"/>
    <w:rsid w:val="00AE6150"/>
    <w:rsid w:val="07BB0362"/>
    <w:rsid w:val="0A48726A"/>
    <w:rsid w:val="1B091729"/>
    <w:rsid w:val="1C77094B"/>
    <w:rsid w:val="38E03F73"/>
    <w:rsid w:val="3D977E72"/>
    <w:rsid w:val="4D5A07EB"/>
    <w:rsid w:val="5BA5318C"/>
    <w:rsid w:val="63EC0063"/>
    <w:rsid w:val="6C4A72AE"/>
    <w:rsid w:val="77EF5D64"/>
    <w:rsid w:val="7FD82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jc w:val="both"/>
    </w:pPr>
    <w:rPr>
      <w:rFonts w:ascii="Times New Roman" w:hAnsi="Times New Roman" w:eastAsia="仿宋_GB2312" w:cs="Times New Roman"/>
      <w:kern w:val="2"/>
      <w:sz w:val="28"/>
      <w:szCs w:val="20"/>
      <w:lang w:val="en-US" w:eastAsia="zh-CN" w:bidi="ar-SA"/>
    </w:rPr>
  </w:style>
  <w:style w:type="paragraph" w:styleId="3">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qFormat/>
    <w:uiPriority w:val="9"/>
    <w:pPr>
      <w:keepNext/>
      <w:keepLines/>
      <w:spacing w:line="360" w:lineRule="auto"/>
      <w:outlineLvl w:val="1"/>
    </w:pPr>
    <w:rPr>
      <w:rFonts w:ascii="Arial" w:hAnsi="Arial" w:eastAsia="楷体_GB2312"/>
      <w:b/>
      <w:szCs w:val="2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autoRedefine/>
    <w:qFormat/>
    <w:uiPriority w:val="0"/>
    <w:rPr>
      <w:rFonts w:ascii="Times New Roman" w:hAnsi="Times New Roman" w:eastAsia="仿宋_GB2312" w:cs="Times New Roman"/>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95</Words>
  <Characters>542</Characters>
  <Lines>4</Lines>
  <Paragraphs>1</Paragraphs>
  <TotalTime>0</TotalTime>
  <ScaleCrop>false</ScaleCrop>
  <LinksUpToDate>false</LinksUpToDate>
  <CharactersWithSpaces>636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2018-08-13T03:16:00Z</dcterms:created>
  <dc:creator>zh</dc:creator>
  <cp:lastModifiedBy>ccram</cp:lastModifiedBy>
  <dcterms:modified xsi:type="dcterms:W3CDTF">2024-01-24T09:39:37Z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DA69337365DD41368FFF7B9AACA155A9_12</vt:lpwstr>
  </property>
</Properties>
</file>